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FE" w:rsidRPr="0026644F" w:rsidRDefault="000833FE" w:rsidP="000833FE">
      <w:pPr>
        <w:spacing w:line="240" w:lineRule="auto"/>
        <w:jc w:val="center"/>
        <w:rPr>
          <w:rFonts w:cs="Kalimati"/>
          <w:sz w:val="20"/>
          <w:szCs w:val="20"/>
          <w:lang w:bidi="ne-NP"/>
        </w:rPr>
      </w:pPr>
      <w:r w:rsidRPr="0026644F">
        <w:rPr>
          <w:rFonts w:cs="Kalimati" w:hint="cs"/>
          <w:sz w:val="20"/>
          <w:szCs w:val="20"/>
          <w:cs/>
          <w:lang w:bidi="ne-NP"/>
        </w:rPr>
        <w:t>प्रेस विज्ञप्ति</w:t>
      </w:r>
    </w:p>
    <w:p w:rsidR="000833FE" w:rsidRPr="0026644F" w:rsidRDefault="000833FE" w:rsidP="000833FE">
      <w:pPr>
        <w:spacing w:line="240" w:lineRule="auto"/>
        <w:ind w:left="270" w:right="-540" w:firstLine="990"/>
        <w:jc w:val="both"/>
        <w:rPr>
          <w:rFonts w:cs="Kalimati" w:hint="cs"/>
          <w:sz w:val="20"/>
          <w:szCs w:val="20"/>
          <w:lang w:bidi="ne-NP"/>
        </w:rPr>
      </w:pPr>
      <w:r w:rsidRPr="0026644F">
        <w:rPr>
          <w:rFonts w:cs="Kalimati" w:hint="cs"/>
          <w:sz w:val="20"/>
          <w:szCs w:val="20"/>
          <w:cs/>
          <w:lang w:bidi="ne-NP"/>
        </w:rPr>
        <w:t xml:space="preserve">आर्थिक वर्ष 2074/75 को फागुन मसान्त सम्मको बजेट कार्यान्वयन समीक्षा एवम आगामी आर्थिक वर्षको बजेट तर्जुमाको तयारी सम्वन्धी बैठक मिति 2074 चैत्र 23 गते माननीय अर्थमन्त्री डा. युवराज खतिवडाज्यूको अध्यक्षतामा सम्पन्न भयो । </w:t>
      </w:r>
    </w:p>
    <w:p w:rsidR="000833FE" w:rsidRPr="0026644F" w:rsidRDefault="000833FE" w:rsidP="000833FE">
      <w:pPr>
        <w:spacing w:line="240" w:lineRule="auto"/>
        <w:ind w:left="270" w:right="-540" w:firstLine="720"/>
        <w:jc w:val="both"/>
        <w:rPr>
          <w:rFonts w:cs="Kalimati" w:hint="cs"/>
          <w:sz w:val="20"/>
          <w:szCs w:val="20"/>
          <w:lang w:bidi="ne-NP"/>
        </w:rPr>
      </w:pPr>
      <w:r w:rsidRPr="0026644F">
        <w:rPr>
          <w:rFonts w:cs="Kalimati" w:hint="cs"/>
          <w:sz w:val="20"/>
          <w:szCs w:val="20"/>
          <w:cs/>
          <w:lang w:bidi="ne-NP"/>
        </w:rPr>
        <w:t>सो अवसरमा माननीय अर्थमन्त्री डा. युवराज खतिवडाले चालु आर्थिक वर्षको लक्ष्य अनुसार प्रगति हासिल हुने गरी बजेट कार्यान्वयन गर्न र आगामी आर्थिक वर्ष 2075/76 को बजेट तर्जुमा गर्दा संघीयता कार्यान्वयको मोडलमा चालु आर्थिक वर्षको बजेटमा आधारित नभै शुन्यमा आधारित आफ्नो तयारी गर्न, स्थानीय सरकारको कार्य भूमिकालाई सहजीकरण हुने गरी मार्गचित्र</w:t>
      </w:r>
      <w:r w:rsidRPr="0026644F">
        <w:rPr>
          <w:rFonts w:cs="Kalimati"/>
          <w:sz w:val="20"/>
          <w:szCs w:val="20"/>
          <w:lang w:bidi="ne-NP"/>
        </w:rPr>
        <w:t xml:space="preserve"> </w:t>
      </w:r>
      <w:r w:rsidRPr="0026644F">
        <w:rPr>
          <w:rFonts w:cs="Kalimati" w:hint="cs"/>
          <w:sz w:val="20"/>
          <w:szCs w:val="20"/>
          <w:cs/>
          <w:lang w:bidi="ne-NP"/>
        </w:rPr>
        <w:t>बनाएर काम गर्न मन्त्रालयका सचिवहरुलाई निर्देशन दिनु भएको थियो। साथै बजेट तर्जुमा गर्दा पर्याप्त पूर्वतयारी गर्ने, दातृ निकायसंग सहायता संझौता गर्दा आफ्नो तर्फबाट तयारी गरेर मात्र गुणात्मक सम्झौता गर्ने, बजेट नियमन र सहजीकरण गर्दा कार्यान्वयनको प्रभावकारिता हेर्ने र गैर बजेटरी बजेट माग गर्ने प्रवृत्तिले संसदीय मर्यादा माथि अवमूल्यन गरेको ठहरिने हुँदा यस विषयलाई गम्भिर रुपमा लिनुपर्ने विषयमा जोड दिनु भयो।</w:t>
      </w:r>
    </w:p>
    <w:p w:rsidR="000833FE" w:rsidRPr="0026644F" w:rsidRDefault="000833FE" w:rsidP="000833FE">
      <w:pPr>
        <w:spacing w:line="240" w:lineRule="auto"/>
        <w:ind w:left="270" w:right="-540" w:firstLine="720"/>
        <w:jc w:val="both"/>
        <w:rPr>
          <w:rFonts w:cs="Kalimati" w:hint="cs"/>
          <w:sz w:val="20"/>
          <w:szCs w:val="20"/>
          <w:lang w:bidi="ne-NP"/>
        </w:rPr>
      </w:pPr>
      <w:r w:rsidRPr="0026644F">
        <w:rPr>
          <w:rFonts w:cs="Kalimati" w:hint="cs"/>
          <w:sz w:val="20"/>
          <w:szCs w:val="20"/>
          <w:cs/>
          <w:lang w:bidi="ne-NP"/>
        </w:rPr>
        <w:t>कार्यक्रममा विभिन्न मन्त्रालयका सचिवज्यूहरुले आ-आफ्नो मन्त्रालयको फागुन मसान्तसम्मको  बजेट खर्चको अवस्था, बजेट कार्यान्वयमा रहेका समस्या एवं आगामी रणनीतिको वारेमा प्रस्तुति गर्नु भयो ।</w:t>
      </w:r>
    </w:p>
    <w:p w:rsidR="000833FE" w:rsidRPr="0026644F" w:rsidRDefault="000833FE" w:rsidP="000833FE">
      <w:pPr>
        <w:spacing w:line="240" w:lineRule="auto"/>
        <w:ind w:left="270" w:right="-540" w:firstLine="720"/>
        <w:jc w:val="both"/>
        <w:rPr>
          <w:rFonts w:cs="Kalimati" w:hint="cs"/>
          <w:sz w:val="20"/>
          <w:szCs w:val="20"/>
          <w:lang w:bidi="ne-NP"/>
        </w:rPr>
      </w:pPr>
      <w:r w:rsidRPr="0026644F">
        <w:rPr>
          <w:rFonts w:cs="Kalimati" w:hint="cs"/>
          <w:sz w:val="20"/>
          <w:szCs w:val="20"/>
          <w:cs/>
          <w:lang w:bidi="ne-NP"/>
        </w:rPr>
        <w:t xml:space="preserve">सो अवसरमा सचिव(राजस्व) श्री शिशिरकुमार ढुङ्गानाज्यूले बजेट तर्जुमा र खर्चको क्रममा सवै मन्त्रालयले वित्तीय उत्तरदायित्व सम्वन्धी अनुशासन कायम गर्ने, स्रोत सुनिश्चितता भएका कार्यक्रमलाई आगामी वर्षको बजेट तर्जुमा गर्दा नियमित कार्यक्रम भित्र पार्ने गरी तयारी गर्ने, प्राथमिकता प्राप्त कार्यक्रममा स्रोत </w:t>
      </w:r>
      <w:r w:rsidRPr="0026644F">
        <w:rPr>
          <w:rFonts w:cs="Kalimati"/>
          <w:sz w:val="20"/>
          <w:szCs w:val="20"/>
          <w:lang w:bidi="ne-NP"/>
        </w:rPr>
        <w:t>Earmark</w:t>
      </w:r>
      <w:r w:rsidRPr="0026644F">
        <w:rPr>
          <w:rFonts w:cs="Kalimati" w:hint="cs"/>
          <w:sz w:val="20"/>
          <w:szCs w:val="20"/>
          <w:cs/>
          <w:lang w:bidi="ne-NP"/>
        </w:rPr>
        <w:t xml:space="preserve"> गरेर मात्र अन्य कार्यक्रममा तय गर्नुपर्ने विषयमा विशेष जोड दिनु भयो।</w:t>
      </w:r>
    </w:p>
    <w:p w:rsidR="0026644F" w:rsidRPr="0026644F" w:rsidRDefault="000833FE" w:rsidP="0026644F">
      <w:pPr>
        <w:spacing w:line="240" w:lineRule="auto"/>
        <w:ind w:left="270" w:right="-540" w:firstLine="720"/>
        <w:jc w:val="both"/>
        <w:rPr>
          <w:rFonts w:cs="Kalimati" w:hint="cs"/>
          <w:sz w:val="20"/>
          <w:szCs w:val="20"/>
          <w:lang w:bidi="ne-NP"/>
        </w:rPr>
      </w:pPr>
      <w:r w:rsidRPr="0026644F">
        <w:rPr>
          <w:rFonts w:cs="Kalimati" w:hint="cs"/>
          <w:sz w:val="20"/>
          <w:szCs w:val="20"/>
          <w:cs/>
          <w:lang w:bidi="ne-NP"/>
        </w:rPr>
        <w:t xml:space="preserve"> समीक्षा कार्यक्रमको शुरुवातमा अर्थ मन्त्रालय अनुगमन तथा मूल्यांकन महाशाखा प्रमुख अर्जुनप्रसाद पोखरेलले चालु आर्थिक वर्ष 2074/75 को फागुन मसान्तसम्मको बजेट कार्यान्वयन प्रगति अवस्था, अघिल्लो द्वैमासिक समीक्षामा भएका निर्णयको कार्यान्वयन अवस्था, वैदेशिक सहायता सोधभर्ना बाँकी</w:t>
      </w:r>
      <w:r w:rsidR="0026644F" w:rsidRPr="0026644F">
        <w:rPr>
          <w:rFonts w:cs="Kalimati" w:hint="cs"/>
          <w:sz w:val="20"/>
          <w:szCs w:val="20"/>
          <w:cs/>
          <w:lang w:bidi="ne-NP"/>
        </w:rPr>
        <w:t>को</w:t>
      </w:r>
      <w:r w:rsidRPr="0026644F">
        <w:rPr>
          <w:rFonts w:cs="Kalimati" w:hint="cs"/>
          <w:sz w:val="20"/>
          <w:szCs w:val="20"/>
          <w:cs/>
          <w:lang w:bidi="ne-NP"/>
        </w:rPr>
        <w:t xml:space="preserve"> विवरण</w:t>
      </w:r>
      <w:r w:rsidR="0026644F" w:rsidRPr="0026644F">
        <w:rPr>
          <w:rFonts w:cs="Kalimati" w:hint="cs"/>
          <w:sz w:val="20"/>
          <w:szCs w:val="20"/>
          <w:cs/>
          <w:lang w:bidi="ne-NP"/>
        </w:rPr>
        <w:t xml:space="preserve"> एवम </w:t>
      </w:r>
      <w:r w:rsidRPr="0026644F">
        <w:rPr>
          <w:rFonts w:cs="Kalimati" w:hint="cs"/>
          <w:sz w:val="20"/>
          <w:szCs w:val="20"/>
          <w:cs/>
          <w:lang w:bidi="ne-NP"/>
        </w:rPr>
        <w:t xml:space="preserve">चालु आर्थिक वर्षको फागुन मसान्तसम्मको </w:t>
      </w:r>
      <w:r w:rsidR="0026644F" w:rsidRPr="0026644F">
        <w:rPr>
          <w:rFonts w:cs="Kalimati" w:hint="cs"/>
          <w:sz w:val="20"/>
          <w:szCs w:val="20"/>
          <w:cs/>
          <w:lang w:bidi="ne-NP"/>
        </w:rPr>
        <w:t xml:space="preserve">खर्चको तुलनात्मक अवस्था देखिने </w:t>
      </w:r>
      <w:r w:rsidRPr="0026644F">
        <w:rPr>
          <w:rFonts w:cs="Kalimati" w:hint="cs"/>
          <w:sz w:val="20"/>
          <w:szCs w:val="20"/>
          <w:cs/>
          <w:lang w:bidi="ne-NP"/>
        </w:rPr>
        <w:t xml:space="preserve">निम्नानुसारको खर्चको आँकडा पेश गर्नु भएको थियो। सोही क्रममा राष्ट्रिय योजना आयोगका तर्फबाट सह-सहिव खोमराज कोईरालाले आगामी आर्थिक वर्ष 2075/76 को लागि बजेट तर्जुमा गर्दा ध्यान दिनु पर्ने विषय एवम योजना आयोगको धारणा प्रस्तुत गर्नु भएको थियो । </w:t>
      </w:r>
    </w:p>
    <w:p w:rsidR="000833FE" w:rsidRPr="0026644F" w:rsidRDefault="000833FE" w:rsidP="0026644F">
      <w:pPr>
        <w:spacing w:line="240" w:lineRule="auto"/>
        <w:ind w:left="270" w:right="-540" w:firstLine="720"/>
        <w:jc w:val="center"/>
        <w:rPr>
          <w:rFonts w:cs="Kalimati" w:hint="cs"/>
          <w:sz w:val="20"/>
          <w:szCs w:val="20"/>
          <w:lang w:bidi="ne-NP"/>
        </w:rPr>
      </w:pPr>
      <w:r w:rsidRPr="0026644F">
        <w:rPr>
          <w:rFonts w:cs="Kalimati" w:hint="cs"/>
          <w:sz w:val="20"/>
          <w:szCs w:val="20"/>
          <w:u w:val="single"/>
          <w:cs/>
          <w:lang w:bidi="ne-NP"/>
        </w:rPr>
        <w:t>फागुन मसान्त सम्मको खर्चको अवस्था</w:t>
      </w:r>
    </w:p>
    <w:tbl>
      <w:tblPr>
        <w:tblStyle w:val="TableGrid"/>
        <w:tblW w:w="0" w:type="auto"/>
        <w:jc w:val="center"/>
        <w:tblInd w:w="-2564" w:type="dxa"/>
        <w:tblLayout w:type="fixed"/>
        <w:tblLook w:val="04A0"/>
      </w:tblPr>
      <w:tblGrid>
        <w:gridCol w:w="723"/>
        <w:gridCol w:w="1494"/>
        <w:gridCol w:w="2171"/>
        <w:gridCol w:w="2070"/>
        <w:gridCol w:w="1990"/>
        <w:gridCol w:w="1858"/>
      </w:tblGrid>
      <w:tr w:rsidR="000833FE" w:rsidRPr="0026644F" w:rsidTr="0026644F">
        <w:trPr>
          <w:jc w:val="center"/>
        </w:trPr>
        <w:tc>
          <w:tcPr>
            <w:tcW w:w="723" w:type="dxa"/>
          </w:tcPr>
          <w:p w:rsidR="000833FE" w:rsidRPr="0026644F" w:rsidRDefault="000833FE" w:rsidP="005B25A1">
            <w:pPr>
              <w:rPr>
                <w:rFonts w:cs="Kalimati" w:hint="cs"/>
                <w:sz w:val="20"/>
                <w:szCs w:val="20"/>
                <w:lang w:bidi="ne-NP"/>
              </w:rPr>
            </w:pPr>
            <w:r w:rsidRPr="0026644F">
              <w:rPr>
                <w:rFonts w:cs="Kalimati" w:hint="cs"/>
                <w:sz w:val="20"/>
                <w:szCs w:val="20"/>
                <w:cs/>
                <w:lang w:bidi="ne-NP"/>
              </w:rPr>
              <w:t>क्र.सं.</w:t>
            </w:r>
          </w:p>
        </w:tc>
        <w:tc>
          <w:tcPr>
            <w:tcW w:w="1494" w:type="dxa"/>
          </w:tcPr>
          <w:p w:rsidR="000833FE" w:rsidRPr="0026644F" w:rsidRDefault="000833FE" w:rsidP="005B25A1">
            <w:pPr>
              <w:rPr>
                <w:rFonts w:cs="Kalimati" w:hint="cs"/>
                <w:sz w:val="20"/>
                <w:szCs w:val="20"/>
                <w:lang w:bidi="ne-NP"/>
              </w:rPr>
            </w:pPr>
            <w:r w:rsidRPr="0026644F">
              <w:rPr>
                <w:rFonts w:cs="Kalimati" w:hint="cs"/>
                <w:sz w:val="20"/>
                <w:szCs w:val="20"/>
                <w:cs/>
                <w:lang w:bidi="ne-NP"/>
              </w:rPr>
              <w:t>खर्च शिर्षक</w:t>
            </w:r>
          </w:p>
        </w:tc>
        <w:tc>
          <w:tcPr>
            <w:tcW w:w="2171" w:type="dxa"/>
            <w:tcBorders>
              <w:bottom w:val="single" w:sz="4" w:space="0" w:color="auto"/>
              <w:right w:val="single" w:sz="4" w:space="0" w:color="auto"/>
            </w:tcBorders>
          </w:tcPr>
          <w:p w:rsidR="000833FE" w:rsidRPr="0026644F" w:rsidRDefault="000833FE" w:rsidP="005B25A1">
            <w:pPr>
              <w:jc w:val="both"/>
              <w:rPr>
                <w:rFonts w:cs="Kalimati" w:hint="cs"/>
                <w:sz w:val="20"/>
                <w:szCs w:val="20"/>
                <w:lang w:bidi="ne-NP"/>
              </w:rPr>
            </w:pPr>
            <w:r w:rsidRPr="0026644F">
              <w:rPr>
                <w:rFonts w:cs="Kalimati" w:hint="cs"/>
                <w:sz w:val="20"/>
                <w:szCs w:val="20"/>
                <w:cs/>
                <w:lang w:bidi="ne-NP"/>
              </w:rPr>
              <w:t>2073/74 फागुन सम्मको खर्च रकम</w:t>
            </w:r>
          </w:p>
        </w:tc>
        <w:tc>
          <w:tcPr>
            <w:tcW w:w="2070" w:type="dxa"/>
            <w:tcBorders>
              <w:right w:val="single" w:sz="4" w:space="0" w:color="auto"/>
            </w:tcBorders>
          </w:tcPr>
          <w:p w:rsidR="000833FE" w:rsidRPr="0026644F" w:rsidRDefault="000833FE" w:rsidP="005B25A1">
            <w:pPr>
              <w:jc w:val="both"/>
              <w:rPr>
                <w:rFonts w:cs="Kalimati" w:hint="cs"/>
                <w:sz w:val="20"/>
                <w:szCs w:val="20"/>
                <w:lang w:bidi="ne-NP"/>
              </w:rPr>
            </w:pPr>
            <w:r w:rsidRPr="0026644F">
              <w:rPr>
                <w:rFonts w:cs="Kalimati" w:hint="cs"/>
                <w:sz w:val="20"/>
                <w:szCs w:val="20"/>
                <w:cs/>
                <w:lang w:bidi="ne-NP"/>
              </w:rPr>
              <w:t>2074/75 फागुन सम्मको खर्च रकम</w:t>
            </w:r>
          </w:p>
        </w:tc>
        <w:tc>
          <w:tcPr>
            <w:tcW w:w="1990" w:type="dxa"/>
            <w:tcBorders>
              <w:right w:val="single" w:sz="4" w:space="0" w:color="auto"/>
            </w:tcBorders>
          </w:tcPr>
          <w:p w:rsidR="000833FE" w:rsidRPr="0026644F" w:rsidRDefault="000833FE" w:rsidP="005B25A1">
            <w:pPr>
              <w:jc w:val="both"/>
              <w:rPr>
                <w:rFonts w:cs="Kalimati" w:hint="cs"/>
                <w:sz w:val="20"/>
                <w:szCs w:val="20"/>
                <w:lang w:bidi="ne-NP"/>
              </w:rPr>
            </w:pPr>
            <w:r w:rsidRPr="0026644F">
              <w:rPr>
                <w:rFonts w:cs="Kalimati" w:hint="cs"/>
                <w:sz w:val="20"/>
                <w:szCs w:val="20"/>
                <w:cs/>
                <w:lang w:bidi="ne-NP"/>
              </w:rPr>
              <w:t>2073/74 फागुन सम्मको खर्च प्रतिशत</w:t>
            </w:r>
          </w:p>
        </w:tc>
        <w:tc>
          <w:tcPr>
            <w:tcW w:w="1858" w:type="dxa"/>
            <w:tcBorders>
              <w:left w:val="single" w:sz="4" w:space="0" w:color="auto"/>
            </w:tcBorders>
          </w:tcPr>
          <w:p w:rsidR="000833FE" w:rsidRPr="0026644F" w:rsidRDefault="000833FE" w:rsidP="000833FE">
            <w:pPr>
              <w:jc w:val="both"/>
              <w:rPr>
                <w:rFonts w:cs="Kalimati" w:hint="cs"/>
                <w:sz w:val="20"/>
                <w:szCs w:val="20"/>
                <w:lang w:bidi="ne-NP"/>
              </w:rPr>
            </w:pPr>
            <w:r w:rsidRPr="0026644F">
              <w:rPr>
                <w:rFonts w:cs="Kalimati" w:hint="cs"/>
                <w:sz w:val="20"/>
                <w:szCs w:val="20"/>
                <w:cs/>
                <w:lang w:bidi="ne-NP"/>
              </w:rPr>
              <w:t>2074/75 फागुन सम्मको खर्च प्रतिशत</w:t>
            </w:r>
          </w:p>
        </w:tc>
      </w:tr>
      <w:tr w:rsidR="000833FE" w:rsidRPr="0026644F" w:rsidTr="0026644F">
        <w:trPr>
          <w:jc w:val="center"/>
        </w:trPr>
        <w:tc>
          <w:tcPr>
            <w:tcW w:w="723" w:type="dxa"/>
          </w:tcPr>
          <w:p w:rsidR="000833FE" w:rsidRPr="0026644F" w:rsidRDefault="000833FE" w:rsidP="005B25A1">
            <w:pPr>
              <w:jc w:val="center"/>
              <w:rPr>
                <w:rFonts w:cs="Kalimati" w:hint="cs"/>
                <w:sz w:val="20"/>
                <w:szCs w:val="20"/>
                <w:lang w:bidi="ne-NP"/>
              </w:rPr>
            </w:pPr>
            <w:r w:rsidRPr="0026644F">
              <w:rPr>
                <w:rFonts w:cs="Kalimati" w:hint="cs"/>
                <w:sz w:val="20"/>
                <w:szCs w:val="20"/>
                <w:cs/>
                <w:lang w:bidi="ne-NP"/>
              </w:rPr>
              <w:t>1</w:t>
            </w:r>
          </w:p>
        </w:tc>
        <w:tc>
          <w:tcPr>
            <w:tcW w:w="1494" w:type="dxa"/>
          </w:tcPr>
          <w:p w:rsidR="000833FE" w:rsidRPr="0026644F" w:rsidRDefault="000833FE" w:rsidP="005B25A1">
            <w:pPr>
              <w:rPr>
                <w:rFonts w:cs="Kalimati" w:hint="cs"/>
                <w:sz w:val="20"/>
                <w:szCs w:val="20"/>
                <w:lang w:bidi="ne-NP"/>
              </w:rPr>
            </w:pPr>
            <w:r w:rsidRPr="0026644F">
              <w:rPr>
                <w:rFonts w:cs="Kalimati" w:hint="cs"/>
                <w:sz w:val="20"/>
                <w:szCs w:val="20"/>
                <w:cs/>
                <w:lang w:bidi="ne-NP"/>
              </w:rPr>
              <w:t>चालु खर्च</w:t>
            </w:r>
          </w:p>
        </w:tc>
        <w:tc>
          <w:tcPr>
            <w:tcW w:w="2171" w:type="dxa"/>
            <w:tcBorders>
              <w:top w:val="single" w:sz="4" w:space="0" w:color="auto"/>
              <w:right w:val="single" w:sz="4" w:space="0" w:color="auto"/>
            </w:tcBorders>
            <w:vAlign w:val="bottom"/>
          </w:tcPr>
          <w:p w:rsidR="000833FE" w:rsidRPr="0026644F" w:rsidRDefault="000833FE" w:rsidP="000833FE">
            <w:pPr>
              <w:pStyle w:val="NormalWeb"/>
              <w:spacing w:before="0" w:beforeAutospacing="0" w:after="0" w:afterAutospacing="0"/>
              <w:jc w:val="center"/>
              <w:textAlignment w:val="bottom"/>
              <w:rPr>
                <w:rFonts w:ascii="Arial" w:hAnsi="Arial" w:cs="Arial"/>
                <w:sz w:val="20"/>
                <w:szCs w:val="20"/>
              </w:rPr>
            </w:pPr>
            <w:r w:rsidRPr="0026644F">
              <w:rPr>
                <w:rFonts w:ascii="Calibri" w:hAnsi="Arial" w:cs="Kalimati" w:hint="cs"/>
                <w:color w:val="000000"/>
                <w:kern w:val="24"/>
                <w:sz w:val="20"/>
                <w:szCs w:val="20"/>
                <w:cs/>
              </w:rPr>
              <w:t>२९५.०५ अर्व</w:t>
            </w:r>
          </w:p>
        </w:tc>
        <w:tc>
          <w:tcPr>
            <w:tcW w:w="2070" w:type="dxa"/>
            <w:tcBorders>
              <w:right w:val="single" w:sz="4" w:space="0" w:color="auto"/>
            </w:tcBorders>
            <w:vAlign w:val="bottom"/>
          </w:tcPr>
          <w:p w:rsidR="000833FE" w:rsidRPr="0026644F" w:rsidRDefault="000833FE" w:rsidP="000833FE">
            <w:pPr>
              <w:pStyle w:val="NormalWeb"/>
              <w:spacing w:before="0" w:beforeAutospacing="0" w:after="0" w:afterAutospacing="0"/>
              <w:jc w:val="center"/>
              <w:textAlignment w:val="bottom"/>
              <w:rPr>
                <w:rFonts w:ascii="Arial" w:hAnsi="Arial" w:cs="Arial"/>
                <w:sz w:val="20"/>
                <w:szCs w:val="20"/>
              </w:rPr>
            </w:pPr>
            <w:r w:rsidRPr="0026644F">
              <w:rPr>
                <w:rFonts w:ascii="Calibri" w:hAnsi="Arial" w:cs="Kalimati" w:hint="cs"/>
                <w:color w:val="000000"/>
                <w:kern w:val="24"/>
                <w:sz w:val="20"/>
                <w:szCs w:val="20"/>
                <w:cs/>
              </w:rPr>
              <w:t>४०२.४८ अर्व</w:t>
            </w:r>
          </w:p>
        </w:tc>
        <w:tc>
          <w:tcPr>
            <w:tcW w:w="1990" w:type="dxa"/>
            <w:tcBorders>
              <w:right w:val="single" w:sz="4" w:space="0" w:color="auto"/>
            </w:tcBorders>
            <w:vAlign w:val="bottom"/>
          </w:tcPr>
          <w:p w:rsidR="000833FE" w:rsidRPr="0026644F" w:rsidRDefault="000833FE" w:rsidP="005B25A1">
            <w:pPr>
              <w:pStyle w:val="NormalWeb"/>
              <w:spacing w:before="0" w:beforeAutospacing="0" w:after="0" w:afterAutospacing="0"/>
              <w:jc w:val="right"/>
              <w:textAlignment w:val="bottom"/>
              <w:rPr>
                <w:rFonts w:ascii="Arial" w:hAnsi="Arial" w:cs="Arial"/>
                <w:sz w:val="20"/>
                <w:szCs w:val="20"/>
              </w:rPr>
            </w:pPr>
            <w:r w:rsidRPr="0026644F">
              <w:rPr>
                <w:rFonts w:ascii="Calibri" w:hAnsi="Arial" w:cs="Kalimati" w:hint="cs"/>
                <w:color w:val="000000"/>
                <w:kern w:val="24"/>
                <w:sz w:val="20"/>
                <w:szCs w:val="20"/>
                <w:cs/>
              </w:rPr>
              <w:t xml:space="preserve">४७.८1 </w:t>
            </w:r>
          </w:p>
        </w:tc>
        <w:tc>
          <w:tcPr>
            <w:tcW w:w="1858" w:type="dxa"/>
            <w:tcBorders>
              <w:left w:val="single" w:sz="4" w:space="0" w:color="auto"/>
            </w:tcBorders>
            <w:vAlign w:val="bottom"/>
          </w:tcPr>
          <w:p w:rsidR="000833FE" w:rsidRPr="0026644F" w:rsidRDefault="000833FE" w:rsidP="005B25A1">
            <w:pPr>
              <w:pStyle w:val="NormalWeb"/>
              <w:spacing w:before="0" w:beforeAutospacing="0" w:after="0" w:afterAutospacing="0"/>
              <w:jc w:val="right"/>
              <w:textAlignment w:val="bottom"/>
              <w:rPr>
                <w:rFonts w:ascii="Arial" w:hAnsi="Arial" w:cs="Arial"/>
                <w:sz w:val="20"/>
                <w:szCs w:val="20"/>
              </w:rPr>
            </w:pPr>
            <w:r w:rsidRPr="0026644F">
              <w:rPr>
                <w:rFonts w:ascii="Calibri" w:hAnsi="Calibri" w:cs="Kalimati"/>
                <w:color w:val="000000"/>
                <w:kern w:val="24"/>
                <w:sz w:val="20"/>
                <w:szCs w:val="20"/>
                <w:cs/>
              </w:rPr>
              <w:t>50.09</w:t>
            </w:r>
            <w:r w:rsidRPr="0026644F">
              <w:rPr>
                <w:rFonts w:ascii="Calibri" w:hAnsi="Calibri" w:cs="Kalimati"/>
                <w:color w:val="000000"/>
                <w:kern w:val="24"/>
                <w:sz w:val="20"/>
                <w:szCs w:val="20"/>
              </w:rPr>
              <w:t xml:space="preserve"> </w:t>
            </w:r>
          </w:p>
        </w:tc>
      </w:tr>
      <w:tr w:rsidR="000833FE" w:rsidRPr="0026644F" w:rsidTr="0026644F">
        <w:trPr>
          <w:jc w:val="center"/>
        </w:trPr>
        <w:tc>
          <w:tcPr>
            <w:tcW w:w="723" w:type="dxa"/>
          </w:tcPr>
          <w:p w:rsidR="000833FE" w:rsidRPr="0026644F" w:rsidRDefault="000833FE" w:rsidP="005B25A1">
            <w:pPr>
              <w:jc w:val="center"/>
              <w:rPr>
                <w:rFonts w:cs="Kalimati" w:hint="cs"/>
                <w:sz w:val="20"/>
                <w:szCs w:val="20"/>
                <w:lang w:bidi="ne-NP"/>
              </w:rPr>
            </w:pPr>
            <w:r w:rsidRPr="0026644F">
              <w:rPr>
                <w:rFonts w:cs="Kalimati" w:hint="cs"/>
                <w:sz w:val="20"/>
                <w:szCs w:val="20"/>
                <w:cs/>
                <w:lang w:bidi="ne-NP"/>
              </w:rPr>
              <w:t>2</w:t>
            </w:r>
          </w:p>
        </w:tc>
        <w:tc>
          <w:tcPr>
            <w:tcW w:w="1494" w:type="dxa"/>
          </w:tcPr>
          <w:p w:rsidR="000833FE" w:rsidRPr="0026644F" w:rsidRDefault="000833FE" w:rsidP="005B25A1">
            <w:pPr>
              <w:rPr>
                <w:rFonts w:cs="Kalimati" w:hint="cs"/>
                <w:sz w:val="20"/>
                <w:szCs w:val="20"/>
                <w:lang w:bidi="ne-NP"/>
              </w:rPr>
            </w:pPr>
            <w:r w:rsidRPr="0026644F">
              <w:rPr>
                <w:rFonts w:cs="Kalimati" w:hint="cs"/>
                <w:sz w:val="20"/>
                <w:szCs w:val="20"/>
                <w:cs/>
                <w:lang w:bidi="ne-NP"/>
              </w:rPr>
              <w:t>पूँजीगत खर्च</w:t>
            </w:r>
          </w:p>
        </w:tc>
        <w:tc>
          <w:tcPr>
            <w:tcW w:w="2171" w:type="dxa"/>
            <w:tcBorders>
              <w:right w:val="single" w:sz="4" w:space="0" w:color="auto"/>
            </w:tcBorders>
            <w:vAlign w:val="bottom"/>
          </w:tcPr>
          <w:p w:rsidR="000833FE" w:rsidRPr="0026644F" w:rsidRDefault="000833FE" w:rsidP="000833FE">
            <w:pPr>
              <w:pStyle w:val="NormalWeb"/>
              <w:spacing w:before="0" w:beforeAutospacing="0" w:after="0" w:afterAutospacing="0"/>
              <w:jc w:val="center"/>
              <w:textAlignment w:val="bottom"/>
              <w:rPr>
                <w:rFonts w:ascii="Arial" w:hAnsi="Arial" w:cs="Arial"/>
                <w:sz w:val="20"/>
                <w:szCs w:val="20"/>
              </w:rPr>
            </w:pPr>
            <w:r w:rsidRPr="0026644F">
              <w:rPr>
                <w:rFonts w:ascii="Calibri" w:hAnsi="Arial" w:cs="Kalimati" w:hint="cs"/>
                <w:color w:val="000000"/>
                <w:kern w:val="24"/>
                <w:sz w:val="20"/>
                <w:szCs w:val="20"/>
                <w:cs/>
              </w:rPr>
              <w:t>६८.१७ अर्व</w:t>
            </w:r>
          </w:p>
        </w:tc>
        <w:tc>
          <w:tcPr>
            <w:tcW w:w="2070" w:type="dxa"/>
            <w:tcBorders>
              <w:right w:val="single" w:sz="4" w:space="0" w:color="auto"/>
            </w:tcBorders>
            <w:vAlign w:val="bottom"/>
          </w:tcPr>
          <w:p w:rsidR="000833FE" w:rsidRPr="0026644F" w:rsidRDefault="000833FE" w:rsidP="000833FE">
            <w:pPr>
              <w:pStyle w:val="NormalWeb"/>
              <w:spacing w:before="0" w:beforeAutospacing="0" w:after="0" w:afterAutospacing="0"/>
              <w:jc w:val="center"/>
              <w:textAlignment w:val="bottom"/>
              <w:rPr>
                <w:rFonts w:ascii="Arial" w:hAnsi="Arial" w:cs="Arial"/>
                <w:sz w:val="20"/>
                <w:szCs w:val="20"/>
              </w:rPr>
            </w:pPr>
            <w:r w:rsidRPr="0026644F">
              <w:rPr>
                <w:rFonts w:ascii="Calibri" w:hAnsi="Arial" w:cs="Kalimati" w:hint="cs"/>
                <w:color w:val="000000"/>
                <w:kern w:val="24"/>
                <w:sz w:val="20"/>
                <w:szCs w:val="20"/>
                <w:cs/>
              </w:rPr>
              <w:t>९३.७० अर्व</w:t>
            </w:r>
          </w:p>
        </w:tc>
        <w:tc>
          <w:tcPr>
            <w:tcW w:w="1990" w:type="dxa"/>
            <w:tcBorders>
              <w:right w:val="single" w:sz="4" w:space="0" w:color="auto"/>
            </w:tcBorders>
            <w:vAlign w:val="bottom"/>
          </w:tcPr>
          <w:p w:rsidR="000833FE" w:rsidRPr="0026644F" w:rsidRDefault="000833FE" w:rsidP="005B25A1">
            <w:pPr>
              <w:pStyle w:val="NormalWeb"/>
              <w:spacing w:before="0" w:beforeAutospacing="0" w:after="0" w:afterAutospacing="0"/>
              <w:jc w:val="right"/>
              <w:textAlignment w:val="bottom"/>
              <w:rPr>
                <w:rFonts w:ascii="Arial" w:hAnsi="Arial" w:cs="Arial"/>
                <w:sz w:val="20"/>
                <w:szCs w:val="20"/>
              </w:rPr>
            </w:pPr>
            <w:r w:rsidRPr="0026644F">
              <w:rPr>
                <w:rFonts w:ascii="Calibri" w:hAnsi="Arial" w:cs="Kalimati" w:hint="cs"/>
                <w:color w:val="000000"/>
                <w:kern w:val="24"/>
                <w:sz w:val="20"/>
                <w:szCs w:val="20"/>
                <w:cs/>
              </w:rPr>
              <w:t xml:space="preserve">२१.८५ </w:t>
            </w:r>
          </w:p>
        </w:tc>
        <w:tc>
          <w:tcPr>
            <w:tcW w:w="1858" w:type="dxa"/>
            <w:tcBorders>
              <w:left w:val="single" w:sz="4" w:space="0" w:color="auto"/>
            </w:tcBorders>
            <w:vAlign w:val="bottom"/>
          </w:tcPr>
          <w:p w:rsidR="000833FE" w:rsidRPr="0026644F" w:rsidRDefault="000833FE" w:rsidP="005B25A1">
            <w:pPr>
              <w:pStyle w:val="NormalWeb"/>
              <w:spacing w:before="0" w:beforeAutospacing="0" w:after="0" w:afterAutospacing="0"/>
              <w:jc w:val="right"/>
              <w:textAlignment w:val="bottom"/>
              <w:rPr>
                <w:rFonts w:ascii="Arial" w:hAnsi="Arial" w:cs="Arial"/>
                <w:sz w:val="20"/>
                <w:szCs w:val="20"/>
              </w:rPr>
            </w:pPr>
            <w:r w:rsidRPr="0026644F">
              <w:rPr>
                <w:rFonts w:ascii="Calibri" w:hAnsi="Calibri" w:cs="Kalimati"/>
                <w:color w:val="000000"/>
                <w:kern w:val="24"/>
                <w:sz w:val="20"/>
                <w:szCs w:val="20"/>
                <w:cs/>
              </w:rPr>
              <w:t>27.96</w:t>
            </w:r>
            <w:r w:rsidRPr="0026644F">
              <w:rPr>
                <w:rFonts w:ascii="Calibri" w:hAnsi="Calibri" w:cs="Kalimati"/>
                <w:color w:val="000000"/>
                <w:kern w:val="24"/>
                <w:sz w:val="20"/>
                <w:szCs w:val="20"/>
              </w:rPr>
              <w:t xml:space="preserve"> </w:t>
            </w:r>
          </w:p>
        </w:tc>
      </w:tr>
      <w:tr w:rsidR="000833FE" w:rsidRPr="0026644F" w:rsidTr="0026644F">
        <w:trPr>
          <w:jc w:val="center"/>
        </w:trPr>
        <w:tc>
          <w:tcPr>
            <w:tcW w:w="723" w:type="dxa"/>
          </w:tcPr>
          <w:p w:rsidR="000833FE" w:rsidRPr="0026644F" w:rsidRDefault="000833FE" w:rsidP="005B25A1">
            <w:pPr>
              <w:jc w:val="center"/>
              <w:rPr>
                <w:rFonts w:cs="Kalimati" w:hint="cs"/>
                <w:sz w:val="20"/>
                <w:szCs w:val="20"/>
                <w:lang w:bidi="ne-NP"/>
              </w:rPr>
            </w:pPr>
            <w:r w:rsidRPr="0026644F">
              <w:rPr>
                <w:rFonts w:cs="Kalimati" w:hint="cs"/>
                <w:sz w:val="20"/>
                <w:szCs w:val="20"/>
                <w:cs/>
                <w:lang w:bidi="ne-NP"/>
              </w:rPr>
              <w:t>3</w:t>
            </w:r>
          </w:p>
        </w:tc>
        <w:tc>
          <w:tcPr>
            <w:tcW w:w="1494" w:type="dxa"/>
          </w:tcPr>
          <w:p w:rsidR="000833FE" w:rsidRPr="0026644F" w:rsidRDefault="000833FE" w:rsidP="005B25A1">
            <w:pPr>
              <w:rPr>
                <w:rFonts w:cs="Kalimati" w:hint="cs"/>
                <w:sz w:val="20"/>
                <w:szCs w:val="20"/>
                <w:lang w:bidi="ne-NP"/>
              </w:rPr>
            </w:pPr>
            <w:r w:rsidRPr="0026644F">
              <w:rPr>
                <w:rFonts w:cs="Kalimati" w:hint="cs"/>
                <w:sz w:val="20"/>
                <w:szCs w:val="20"/>
                <w:cs/>
                <w:lang w:bidi="ne-NP"/>
              </w:rPr>
              <w:t>वित्तीय व्यवस्था</w:t>
            </w:r>
          </w:p>
        </w:tc>
        <w:tc>
          <w:tcPr>
            <w:tcW w:w="2171" w:type="dxa"/>
            <w:tcBorders>
              <w:right w:val="single" w:sz="4" w:space="0" w:color="auto"/>
            </w:tcBorders>
            <w:vAlign w:val="bottom"/>
          </w:tcPr>
          <w:p w:rsidR="000833FE" w:rsidRPr="0026644F" w:rsidRDefault="000833FE" w:rsidP="000833FE">
            <w:pPr>
              <w:pStyle w:val="NormalWeb"/>
              <w:spacing w:before="0" w:beforeAutospacing="0" w:after="0" w:afterAutospacing="0"/>
              <w:jc w:val="center"/>
              <w:textAlignment w:val="bottom"/>
              <w:rPr>
                <w:rFonts w:ascii="Arial" w:hAnsi="Arial" w:cs="Arial"/>
                <w:sz w:val="20"/>
                <w:szCs w:val="20"/>
              </w:rPr>
            </w:pPr>
            <w:r w:rsidRPr="0026644F">
              <w:rPr>
                <w:rFonts w:ascii="Calibri" w:hAnsi="Arial" w:cs="Kalimati" w:hint="cs"/>
                <w:color w:val="000000"/>
                <w:kern w:val="24"/>
                <w:sz w:val="20"/>
                <w:szCs w:val="20"/>
                <w:cs/>
              </w:rPr>
              <w:t>३९.१७ अर्व</w:t>
            </w:r>
          </w:p>
        </w:tc>
        <w:tc>
          <w:tcPr>
            <w:tcW w:w="2070" w:type="dxa"/>
            <w:tcBorders>
              <w:right w:val="single" w:sz="4" w:space="0" w:color="auto"/>
            </w:tcBorders>
            <w:vAlign w:val="bottom"/>
          </w:tcPr>
          <w:p w:rsidR="000833FE" w:rsidRPr="0026644F" w:rsidRDefault="000833FE" w:rsidP="000833FE">
            <w:pPr>
              <w:pStyle w:val="NormalWeb"/>
              <w:spacing w:before="0" w:beforeAutospacing="0" w:after="0" w:afterAutospacing="0"/>
              <w:jc w:val="center"/>
              <w:textAlignment w:val="bottom"/>
              <w:rPr>
                <w:rFonts w:ascii="Arial" w:hAnsi="Arial" w:cs="Arial"/>
                <w:sz w:val="20"/>
                <w:szCs w:val="20"/>
              </w:rPr>
            </w:pPr>
            <w:r w:rsidRPr="0026644F">
              <w:rPr>
                <w:rFonts w:ascii="Calibri" w:hAnsi="Arial" w:cs="Kalimati" w:hint="cs"/>
                <w:color w:val="000000"/>
                <w:kern w:val="24"/>
                <w:sz w:val="20"/>
                <w:szCs w:val="20"/>
                <w:cs/>
              </w:rPr>
              <w:t>३१.७१ अर्व</w:t>
            </w:r>
          </w:p>
        </w:tc>
        <w:tc>
          <w:tcPr>
            <w:tcW w:w="1990" w:type="dxa"/>
            <w:tcBorders>
              <w:right w:val="single" w:sz="4" w:space="0" w:color="auto"/>
            </w:tcBorders>
            <w:vAlign w:val="bottom"/>
          </w:tcPr>
          <w:p w:rsidR="000833FE" w:rsidRPr="0026644F" w:rsidRDefault="000833FE" w:rsidP="005B25A1">
            <w:pPr>
              <w:pStyle w:val="NormalWeb"/>
              <w:spacing w:before="0" w:beforeAutospacing="0" w:after="0" w:afterAutospacing="0"/>
              <w:jc w:val="right"/>
              <w:textAlignment w:val="bottom"/>
              <w:rPr>
                <w:rFonts w:ascii="Arial" w:hAnsi="Arial" w:cs="Arial"/>
                <w:sz w:val="20"/>
                <w:szCs w:val="20"/>
              </w:rPr>
            </w:pPr>
            <w:r w:rsidRPr="0026644F">
              <w:rPr>
                <w:rFonts w:ascii="Calibri" w:hAnsi="Arial" w:cs="Kalimati" w:hint="cs"/>
                <w:color w:val="000000"/>
                <w:kern w:val="24"/>
                <w:sz w:val="20"/>
                <w:szCs w:val="20"/>
                <w:cs/>
              </w:rPr>
              <w:t>३२.70</w:t>
            </w:r>
            <w:r w:rsidRPr="0026644F">
              <w:rPr>
                <w:rFonts w:ascii="Calibri" w:hAnsi="Calibri" w:cs="Kalimati"/>
                <w:color w:val="000000"/>
                <w:kern w:val="24"/>
                <w:sz w:val="20"/>
                <w:szCs w:val="20"/>
              </w:rPr>
              <w:t xml:space="preserve"> </w:t>
            </w:r>
          </w:p>
        </w:tc>
        <w:tc>
          <w:tcPr>
            <w:tcW w:w="1858" w:type="dxa"/>
            <w:tcBorders>
              <w:left w:val="single" w:sz="4" w:space="0" w:color="auto"/>
            </w:tcBorders>
            <w:vAlign w:val="bottom"/>
          </w:tcPr>
          <w:p w:rsidR="000833FE" w:rsidRPr="0026644F" w:rsidRDefault="000833FE" w:rsidP="005B25A1">
            <w:pPr>
              <w:pStyle w:val="NormalWeb"/>
              <w:spacing w:before="0" w:beforeAutospacing="0" w:after="0" w:afterAutospacing="0"/>
              <w:jc w:val="right"/>
              <w:textAlignment w:val="bottom"/>
              <w:rPr>
                <w:rFonts w:ascii="Arial" w:hAnsi="Arial" w:cs="Arial"/>
                <w:sz w:val="20"/>
                <w:szCs w:val="20"/>
              </w:rPr>
            </w:pPr>
            <w:r w:rsidRPr="0026644F">
              <w:rPr>
                <w:rFonts w:ascii="Calibri" w:hAnsi="Calibri" w:cs="Kalimati"/>
                <w:color w:val="000000"/>
                <w:kern w:val="24"/>
                <w:sz w:val="20"/>
                <w:szCs w:val="20"/>
                <w:cs/>
              </w:rPr>
              <w:t>22.61</w:t>
            </w:r>
            <w:r w:rsidRPr="0026644F">
              <w:rPr>
                <w:rFonts w:ascii="Calibri" w:hAnsi="Calibri" w:cs="Kalimati"/>
                <w:color w:val="000000"/>
                <w:kern w:val="24"/>
                <w:sz w:val="20"/>
                <w:szCs w:val="20"/>
              </w:rPr>
              <w:t xml:space="preserve"> </w:t>
            </w:r>
          </w:p>
        </w:tc>
      </w:tr>
      <w:tr w:rsidR="000833FE" w:rsidRPr="0026644F" w:rsidTr="0026644F">
        <w:trPr>
          <w:jc w:val="center"/>
        </w:trPr>
        <w:tc>
          <w:tcPr>
            <w:tcW w:w="723" w:type="dxa"/>
          </w:tcPr>
          <w:p w:rsidR="000833FE" w:rsidRPr="0026644F" w:rsidRDefault="000833FE" w:rsidP="005B25A1">
            <w:pPr>
              <w:jc w:val="center"/>
              <w:rPr>
                <w:rFonts w:cs="Kalimati" w:hint="cs"/>
                <w:sz w:val="20"/>
                <w:szCs w:val="20"/>
                <w:cs/>
                <w:lang w:bidi="ne-NP"/>
              </w:rPr>
            </w:pPr>
          </w:p>
        </w:tc>
        <w:tc>
          <w:tcPr>
            <w:tcW w:w="1494" w:type="dxa"/>
          </w:tcPr>
          <w:p w:rsidR="000833FE" w:rsidRPr="0026644F" w:rsidRDefault="000833FE" w:rsidP="005B25A1">
            <w:pPr>
              <w:jc w:val="center"/>
              <w:rPr>
                <w:rFonts w:cs="Kalimati" w:hint="cs"/>
                <w:sz w:val="20"/>
                <w:szCs w:val="20"/>
                <w:cs/>
                <w:lang w:bidi="ne-NP"/>
              </w:rPr>
            </w:pPr>
            <w:r w:rsidRPr="0026644F">
              <w:rPr>
                <w:rFonts w:cs="Kalimati" w:hint="cs"/>
                <w:sz w:val="20"/>
                <w:szCs w:val="20"/>
                <w:cs/>
                <w:lang w:bidi="ne-NP"/>
              </w:rPr>
              <w:t>जम्मा</w:t>
            </w:r>
          </w:p>
        </w:tc>
        <w:tc>
          <w:tcPr>
            <w:tcW w:w="2171" w:type="dxa"/>
            <w:tcBorders>
              <w:right w:val="single" w:sz="4" w:space="0" w:color="auto"/>
            </w:tcBorders>
            <w:vAlign w:val="bottom"/>
          </w:tcPr>
          <w:p w:rsidR="000833FE" w:rsidRPr="0026644F" w:rsidRDefault="000833FE" w:rsidP="000833FE">
            <w:pPr>
              <w:pStyle w:val="NormalWeb"/>
              <w:spacing w:before="0" w:beforeAutospacing="0" w:after="0" w:afterAutospacing="0"/>
              <w:jc w:val="center"/>
              <w:textAlignment w:val="bottom"/>
              <w:rPr>
                <w:rFonts w:ascii="Arial" w:hAnsi="Arial" w:cs="Arial"/>
                <w:sz w:val="20"/>
                <w:szCs w:val="20"/>
              </w:rPr>
            </w:pPr>
            <w:r w:rsidRPr="0026644F">
              <w:rPr>
                <w:rFonts w:ascii="Calibri" w:hAnsi="Calibri" w:cs="Kalimati"/>
                <w:color w:val="000000"/>
                <w:kern w:val="24"/>
                <w:sz w:val="20"/>
                <w:szCs w:val="20"/>
                <w:cs/>
              </w:rPr>
              <w:t>402.39 अर्व</w:t>
            </w:r>
          </w:p>
        </w:tc>
        <w:tc>
          <w:tcPr>
            <w:tcW w:w="2070" w:type="dxa"/>
            <w:tcBorders>
              <w:right w:val="single" w:sz="4" w:space="0" w:color="auto"/>
            </w:tcBorders>
            <w:vAlign w:val="bottom"/>
          </w:tcPr>
          <w:p w:rsidR="000833FE" w:rsidRPr="0026644F" w:rsidRDefault="000833FE" w:rsidP="000833FE">
            <w:pPr>
              <w:pStyle w:val="NormalWeb"/>
              <w:spacing w:before="0" w:beforeAutospacing="0" w:after="0" w:afterAutospacing="0"/>
              <w:jc w:val="center"/>
              <w:textAlignment w:val="bottom"/>
              <w:rPr>
                <w:rFonts w:ascii="Arial" w:hAnsi="Arial" w:cs="Arial"/>
                <w:sz w:val="20"/>
                <w:szCs w:val="20"/>
              </w:rPr>
            </w:pPr>
            <w:r w:rsidRPr="0026644F">
              <w:rPr>
                <w:rFonts w:ascii="Calibri" w:hAnsi="Calibri" w:cs="Kalimati"/>
                <w:color w:val="000000"/>
                <w:kern w:val="24"/>
                <w:sz w:val="20"/>
                <w:szCs w:val="20"/>
                <w:cs/>
              </w:rPr>
              <w:t>527.89अर्व</w:t>
            </w:r>
          </w:p>
        </w:tc>
        <w:tc>
          <w:tcPr>
            <w:tcW w:w="1990" w:type="dxa"/>
            <w:tcBorders>
              <w:right w:val="single" w:sz="4" w:space="0" w:color="auto"/>
            </w:tcBorders>
            <w:vAlign w:val="bottom"/>
          </w:tcPr>
          <w:p w:rsidR="000833FE" w:rsidRPr="0026644F" w:rsidRDefault="000833FE" w:rsidP="005B25A1">
            <w:pPr>
              <w:pStyle w:val="NormalWeb"/>
              <w:spacing w:before="0" w:beforeAutospacing="0" w:after="0" w:afterAutospacing="0"/>
              <w:jc w:val="right"/>
              <w:textAlignment w:val="bottom"/>
              <w:rPr>
                <w:rFonts w:ascii="Arial" w:hAnsi="Arial" w:cs="Arial"/>
                <w:sz w:val="20"/>
                <w:szCs w:val="20"/>
              </w:rPr>
            </w:pPr>
            <w:r w:rsidRPr="0026644F">
              <w:rPr>
                <w:rFonts w:ascii="Calibri" w:hAnsi="Calibri" w:cs="Kalimati"/>
                <w:color w:val="000000"/>
                <w:kern w:val="24"/>
                <w:sz w:val="20"/>
                <w:szCs w:val="20"/>
                <w:cs/>
              </w:rPr>
              <w:t>38.36%</w:t>
            </w:r>
            <w:r w:rsidRPr="0026644F">
              <w:rPr>
                <w:rFonts w:ascii="Calibri" w:hAnsi="Calibri" w:cs="Kalimati"/>
                <w:color w:val="000000"/>
                <w:kern w:val="24"/>
                <w:sz w:val="20"/>
                <w:szCs w:val="20"/>
              </w:rPr>
              <w:t xml:space="preserve"> </w:t>
            </w:r>
          </w:p>
        </w:tc>
        <w:tc>
          <w:tcPr>
            <w:tcW w:w="1858" w:type="dxa"/>
            <w:tcBorders>
              <w:left w:val="single" w:sz="4" w:space="0" w:color="auto"/>
            </w:tcBorders>
            <w:vAlign w:val="bottom"/>
          </w:tcPr>
          <w:p w:rsidR="000833FE" w:rsidRPr="0026644F" w:rsidRDefault="000833FE" w:rsidP="005B25A1">
            <w:pPr>
              <w:pStyle w:val="NormalWeb"/>
              <w:spacing w:before="0" w:beforeAutospacing="0" w:after="0" w:afterAutospacing="0"/>
              <w:jc w:val="right"/>
              <w:textAlignment w:val="bottom"/>
              <w:rPr>
                <w:rFonts w:ascii="Arial" w:hAnsi="Arial" w:cs="Arial"/>
                <w:sz w:val="20"/>
                <w:szCs w:val="20"/>
              </w:rPr>
            </w:pPr>
            <w:r w:rsidRPr="0026644F">
              <w:rPr>
                <w:rFonts w:ascii="Calibri" w:hAnsi="Calibri" w:cs="Kalimati"/>
                <w:color w:val="000000"/>
                <w:kern w:val="24"/>
                <w:sz w:val="20"/>
                <w:szCs w:val="20"/>
                <w:cs/>
              </w:rPr>
              <w:t>41.27%</w:t>
            </w:r>
            <w:r w:rsidRPr="0026644F">
              <w:rPr>
                <w:rFonts w:ascii="Calibri" w:hAnsi="Calibri" w:cs="Kalimati"/>
                <w:color w:val="000000"/>
                <w:kern w:val="24"/>
                <w:sz w:val="20"/>
                <w:szCs w:val="20"/>
              </w:rPr>
              <w:t xml:space="preserve"> </w:t>
            </w:r>
          </w:p>
        </w:tc>
      </w:tr>
    </w:tbl>
    <w:p w:rsidR="00FE6A3B" w:rsidRDefault="00FE6A3B" w:rsidP="0026644F">
      <w:pPr>
        <w:spacing w:after="120"/>
        <w:rPr>
          <w:rFonts w:cs="Kalimati" w:hint="cs"/>
          <w:sz w:val="20"/>
          <w:szCs w:val="20"/>
          <w:lang w:bidi="ne-NP"/>
        </w:rPr>
      </w:pPr>
    </w:p>
    <w:p w:rsidR="0026644F" w:rsidRPr="0026644F" w:rsidRDefault="0026644F" w:rsidP="0026644F">
      <w:pPr>
        <w:spacing w:after="120"/>
        <w:rPr>
          <w:rFonts w:cs="Kalimati" w:hint="cs"/>
          <w:sz w:val="20"/>
          <w:szCs w:val="20"/>
          <w:lang w:bidi="ne-NP"/>
        </w:rPr>
      </w:pPr>
    </w:p>
    <w:sectPr w:rsidR="0026644F" w:rsidRPr="0026644F" w:rsidSect="00FE6A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33FE"/>
    <w:rsid w:val="000833FE"/>
    <w:rsid w:val="0026644F"/>
    <w:rsid w:val="00FE6A3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33FE"/>
    <w:pPr>
      <w:spacing w:before="100" w:beforeAutospacing="1" w:after="100" w:afterAutospacing="1" w:line="240" w:lineRule="auto"/>
    </w:pPr>
    <w:rPr>
      <w:rFonts w:ascii="Times New Roman" w:eastAsia="Times New Roman" w:hAnsi="Times New Roman" w:cs="Times New Roman"/>
      <w:sz w:val="24"/>
      <w:szCs w:val="24"/>
      <w:lang w:bidi="ne-NP"/>
    </w:rPr>
  </w:style>
  <w:style w:type="table" w:styleId="TableGrid">
    <w:name w:val="Table Grid"/>
    <w:basedOn w:val="TableNormal"/>
    <w:uiPriority w:val="59"/>
    <w:rsid w:val="000833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sacharya</dc:creator>
  <cp:lastModifiedBy>sacharya</cp:lastModifiedBy>
  <cp:revision>1</cp:revision>
  <cp:lastPrinted>2018-04-06T12:53:00Z</cp:lastPrinted>
  <dcterms:created xsi:type="dcterms:W3CDTF">2018-04-06T12:33:00Z</dcterms:created>
  <dcterms:modified xsi:type="dcterms:W3CDTF">2018-04-06T12:56:00Z</dcterms:modified>
</cp:coreProperties>
</file>